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62C1" w14:textId="5803E5D7" w:rsidR="00545673" w:rsidRPr="002B6957" w:rsidRDefault="00754642" w:rsidP="00545673">
      <w:pPr>
        <w:pStyle w:val="Nosaukums"/>
        <w:tabs>
          <w:tab w:val="left" w:pos="851"/>
        </w:tabs>
        <w:outlineLvl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Pi</w:t>
      </w:r>
      <w:r w:rsidR="00545673" w:rsidRPr="002B6957">
        <w:rPr>
          <w:rFonts w:ascii="Arial" w:hAnsi="Arial" w:cs="Arial"/>
          <w:sz w:val="19"/>
          <w:szCs w:val="19"/>
        </w:rPr>
        <w:t>egādātāja pašdeklarācija</w:t>
      </w:r>
    </w:p>
    <w:p w14:paraId="3A971535" w14:textId="2F16514C" w:rsidR="00545673" w:rsidRPr="00A80F6D" w:rsidRDefault="00545673" w:rsidP="002C5C2A">
      <w:pPr>
        <w:jc w:val="center"/>
        <w:rPr>
          <w:rFonts w:ascii="Arial" w:hAnsi="Arial" w:cs="Arial"/>
          <w:i/>
          <w:iCs/>
          <w:sz w:val="19"/>
          <w:szCs w:val="19"/>
        </w:rPr>
      </w:pPr>
      <w:r w:rsidRPr="00A80F6D">
        <w:rPr>
          <w:rFonts w:ascii="Arial" w:hAnsi="Arial" w:cs="Arial"/>
          <w:i/>
          <w:iCs/>
          <w:sz w:val="19"/>
          <w:szCs w:val="19"/>
        </w:rPr>
        <w:t>Par koksnes piegādēm un koksnes izcelsmes noteikšanas sistēmas ievērošanu</w:t>
      </w:r>
    </w:p>
    <w:p w14:paraId="3B6562F9" w14:textId="77777777" w:rsidR="00545673" w:rsidRPr="002B6957" w:rsidRDefault="00545673" w:rsidP="00545673">
      <w:pPr>
        <w:pStyle w:val="Nosaukums"/>
        <w:tabs>
          <w:tab w:val="left" w:pos="851"/>
        </w:tabs>
        <w:outlineLvl w:val="0"/>
        <w:rPr>
          <w:rFonts w:ascii="Arial" w:hAnsi="Arial" w:cs="Arial"/>
          <w:i/>
          <w:sz w:val="19"/>
          <w:szCs w:val="19"/>
        </w:rPr>
      </w:pPr>
    </w:p>
    <w:p w14:paraId="3B92B9E2" w14:textId="750BC84A" w:rsidR="00545673" w:rsidRPr="002B6957" w:rsidRDefault="00545673" w:rsidP="00545673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bookmarkStart w:id="0" w:name="_Hlk525123894"/>
      <w:r w:rsidRPr="002B6957">
        <w:rPr>
          <w:rFonts w:ascii="Arial" w:hAnsi="Arial" w:cs="Arial"/>
          <w:sz w:val="19"/>
          <w:szCs w:val="19"/>
          <w:lang w:eastAsia="lv-LV"/>
        </w:rPr>
        <w:t>„_________________________</w:t>
      </w:r>
      <w:r w:rsidR="001D5C52">
        <w:rPr>
          <w:rFonts w:ascii="Arial" w:hAnsi="Arial" w:cs="Arial"/>
          <w:sz w:val="19"/>
          <w:szCs w:val="19"/>
          <w:lang w:eastAsia="lv-LV"/>
        </w:rPr>
        <w:t>____________________________________________</w:t>
      </w:r>
      <w:r w:rsidRPr="002B6957">
        <w:rPr>
          <w:rFonts w:ascii="Arial" w:hAnsi="Arial" w:cs="Arial"/>
          <w:sz w:val="19"/>
          <w:szCs w:val="19"/>
          <w:lang w:eastAsia="lv-LV"/>
        </w:rPr>
        <w:t xml:space="preserve">”, vienotais reģistrācijas numurs _______________________, juridiskā adrese: </w:t>
      </w:r>
      <w:r w:rsidRPr="002B6957">
        <w:rPr>
          <w:rFonts w:ascii="Arial" w:hAnsi="Arial" w:cs="Arial"/>
          <w:sz w:val="19"/>
          <w:szCs w:val="19"/>
          <w:u w:val="single"/>
          <w:lang w:eastAsia="lv-LV"/>
        </w:rPr>
        <w:t>_____________________________________________</w:t>
      </w:r>
      <w:r w:rsidRPr="002B6957">
        <w:rPr>
          <w:rFonts w:ascii="Arial" w:hAnsi="Arial" w:cs="Arial"/>
          <w:sz w:val="19"/>
          <w:szCs w:val="19"/>
          <w:lang w:eastAsia="lv-LV"/>
        </w:rPr>
        <w:t xml:space="preserve">, (turpmāk – Piegādātājs), kuras vārdā pamatojoties uz </w:t>
      </w:r>
      <w:r w:rsidRPr="001D5C52">
        <w:rPr>
          <w:rFonts w:ascii="Arial" w:hAnsi="Arial" w:cs="Arial"/>
          <w:sz w:val="19"/>
          <w:szCs w:val="19"/>
          <w:lang w:eastAsia="lv-LV"/>
        </w:rPr>
        <w:t>_________________</w:t>
      </w:r>
      <w:r w:rsidR="001D5C52">
        <w:rPr>
          <w:rFonts w:ascii="Arial" w:hAnsi="Arial" w:cs="Arial"/>
          <w:sz w:val="19"/>
          <w:szCs w:val="19"/>
          <w:lang w:eastAsia="lv-LV"/>
        </w:rPr>
        <w:t>_______________</w:t>
      </w:r>
      <w:r w:rsidRPr="002B6957">
        <w:rPr>
          <w:rFonts w:ascii="Arial" w:hAnsi="Arial" w:cs="Arial"/>
          <w:sz w:val="19"/>
          <w:szCs w:val="19"/>
          <w:lang w:eastAsia="lv-LV"/>
        </w:rPr>
        <w:t xml:space="preserve">rīkojas </w:t>
      </w:r>
      <w:r w:rsidR="001D5C52">
        <w:rPr>
          <w:rFonts w:ascii="Arial" w:hAnsi="Arial" w:cs="Arial"/>
          <w:sz w:val="19"/>
          <w:szCs w:val="19"/>
          <w:u w:val="single"/>
          <w:lang w:eastAsia="lv-LV"/>
        </w:rPr>
        <w:t xml:space="preserve">                                                                              </w:t>
      </w:r>
      <w:r w:rsidRPr="002B6957">
        <w:rPr>
          <w:rFonts w:ascii="Arial" w:hAnsi="Arial" w:cs="Arial"/>
          <w:i/>
          <w:iCs/>
          <w:sz w:val="19"/>
          <w:szCs w:val="19"/>
          <w:lang w:eastAsia="lv-LV"/>
        </w:rPr>
        <w:t>amats,</w:t>
      </w:r>
      <w:r w:rsidRPr="002B6957">
        <w:rPr>
          <w:rFonts w:ascii="Arial" w:hAnsi="Arial" w:cs="Arial"/>
          <w:i/>
          <w:iCs/>
          <w:sz w:val="19"/>
          <w:szCs w:val="19"/>
        </w:rPr>
        <w:t xml:space="preserve"> vārds, uzvārds]</w:t>
      </w:r>
      <w:r w:rsidRPr="002B6957">
        <w:rPr>
          <w:rFonts w:ascii="Arial" w:hAnsi="Arial" w:cs="Arial"/>
          <w:i/>
          <w:iCs/>
          <w:sz w:val="19"/>
          <w:szCs w:val="19"/>
          <w:lang w:eastAsia="lv-LV"/>
        </w:rPr>
        <w:t>.</w:t>
      </w:r>
      <w:r w:rsidR="001D249F">
        <w:rPr>
          <w:rFonts w:ascii="Arial" w:hAnsi="Arial" w:cs="Arial"/>
          <w:i/>
          <w:iCs/>
          <w:sz w:val="19"/>
          <w:szCs w:val="19"/>
          <w:lang w:eastAsia="lv-LV"/>
        </w:rPr>
        <w:t xml:space="preserve"> </w:t>
      </w:r>
      <w:r w:rsidR="0048097D">
        <w:rPr>
          <w:rFonts w:ascii="Arial" w:hAnsi="Arial" w:cs="Arial"/>
          <w:i/>
          <w:iCs/>
          <w:sz w:val="19"/>
          <w:szCs w:val="19"/>
          <w:lang w:eastAsia="lv-LV"/>
        </w:rPr>
        <w:t>___________________________________________________________________________________</w:t>
      </w:r>
    </w:p>
    <w:p w14:paraId="06F1DB43" w14:textId="77777777" w:rsidR="00545673" w:rsidRPr="001D5C52" w:rsidRDefault="00545673" w:rsidP="00545673">
      <w:pPr>
        <w:tabs>
          <w:tab w:val="left" w:pos="4380"/>
        </w:tabs>
        <w:jc w:val="both"/>
        <w:rPr>
          <w:rFonts w:ascii="Arial" w:hAnsi="Arial" w:cs="Arial"/>
          <w:sz w:val="8"/>
          <w:szCs w:val="8"/>
        </w:rPr>
      </w:pPr>
      <w:r w:rsidRPr="001D5C52">
        <w:rPr>
          <w:rFonts w:ascii="Arial" w:hAnsi="Arial" w:cs="Arial"/>
          <w:sz w:val="8"/>
          <w:szCs w:val="8"/>
        </w:rPr>
        <w:tab/>
      </w:r>
    </w:p>
    <w:p w14:paraId="077549BF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ņemot vērā, ka Piegādātājs veic koksnes piegādes </w:t>
      </w:r>
      <w:r w:rsidRPr="001D5C52">
        <w:rPr>
          <w:rFonts w:ascii="Arial" w:hAnsi="Arial" w:cs="Arial"/>
          <w:b/>
          <w:bCs/>
          <w:sz w:val="19"/>
          <w:szCs w:val="19"/>
        </w:rPr>
        <w:t>SIA "BONO Energy"</w:t>
      </w:r>
      <w:r w:rsidRPr="002B6957">
        <w:rPr>
          <w:rFonts w:ascii="Arial" w:hAnsi="Arial" w:cs="Arial"/>
          <w:sz w:val="19"/>
          <w:szCs w:val="19"/>
        </w:rPr>
        <w:t xml:space="preserve">, vienotais reģistrācijas numurs 40203376277, juridiskā adrese: Beātes iela 5, Valmiera, Valmieras novads, LV-4201, </w:t>
      </w:r>
      <w:r w:rsidRPr="002B6957">
        <w:rPr>
          <w:rFonts w:ascii="Arial" w:hAnsi="Arial" w:cs="Arial"/>
          <w:sz w:val="19"/>
          <w:szCs w:val="19"/>
          <w:lang w:eastAsia="lv-LV"/>
        </w:rPr>
        <w:t xml:space="preserve">(turpmāk – Pircējs), </w:t>
      </w:r>
      <w:r w:rsidRPr="002B6957">
        <w:rPr>
          <w:rFonts w:ascii="Arial" w:hAnsi="Arial" w:cs="Arial"/>
          <w:sz w:val="19"/>
          <w:szCs w:val="19"/>
        </w:rPr>
        <w:t xml:space="preserve">un gan Piegādātājs, gan Pircējs atbalsta FSC (Forest Stewardship Council) pasākumus atbildīgas mežu apsaimniekošanas nodrošināšanai un FSC izstrādāto koksnes piegāžu ķēžu sertifikācijas sistēmu, </w:t>
      </w:r>
    </w:p>
    <w:bookmarkEnd w:id="0"/>
    <w:p w14:paraId="399AE4E7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</w:p>
    <w:p w14:paraId="064C3475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1. </w:t>
      </w:r>
      <w:r w:rsidRPr="002B6957">
        <w:rPr>
          <w:rFonts w:ascii="Arial" w:hAnsi="Arial" w:cs="Arial"/>
          <w:b/>
          <w:sz w:val="19"/>
          <w:szCs w:val="19"/>
        </w:rPr>
        <w:t>Piegādātājs apliecina</w:t>
      </w:r>
      <w:r w:rsidRPr="002B6957">
        <w:rPr>
          <w:rFonts w:ascii="Arial" w:hAnsi="Arial" w:cs="Arial"/>
          <w:sz w:val="19"/>
          <w:szCs w:val="19"/>
        </w:rPr>
        <w:t>, ka pēc Piegādātāja rīcībā esošām ziņām, piegādātā koksne nav un nebūs cēlusies no apstrīdamiem avotiem.</w:t>
      </w:r>
    </w:p>
    <w:p w14:paraId="34852B5F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Par </w:t>
      </w:r>
      <w:r w:rsidRPr="002B6957">
        <w:rPr>
          <w:rFonts w:ascii="Arial" w:hAnsi="Arial" w:cs="Arial"/>
          <w:sz w:val="19"/>
          <w:szCs w:val="19"/>
          <w:u w:val="single"/>
        </w:rPr>
        <w:t>apstrīdamiem avotiem</w:t>
      </w:r>
      <w:r w:rsidRPr="002B6957">
        <w:rPr>
          <w:rFonts w:ascii="Arial" w:hAnsi="Arial" w:cs="Arial"/>
          <w:sz w:val="19"/>
          <w:szCs w:val="19"/>
        </w:rPr>
        <w:t xml:space="preserve"> uzskatāmas meža apsaimniekošanas aktivitātes, kuras:</w:t>
      </w:r>
    </w:p>
    <w:p w14:paraId="73DD9E32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(a) neatbilst nacionālajai un starptautiskajai likumdošanai sekojošās sfērās:</w:t>
      </w:r>
    </w:p>
    <w:p w14:paraId="180AD755" w14:textId="77777777" w:rsidR="00545673" w:rsidRPr="002B6957" w:rsidRDefault="00545673" w:rsidP="00545673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kura iegūta nelikumīgi vai citādā neatļautā veidā, kā arī aizsargājamos mežos vai citos mežos, kuros ir noteikti koksnes ieguves aizliegums;</w:t>
      </w:r>
    </w:p>
    <w:p w14:paraId="72F39265" w14:textId="77777777" w:rsidR="00545673" w:rsidRPr="002B6957" w:rsidRDefault="00545673" w:rsidP="00545673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kura ir ģenētiski modificēta;</w:t>
      </w:r>
    </w:p>
    <w:p w14:paraId="05442794" w14:textId="77777777" w:rsidR="00545673" w:rsidRPr="002B6957" w:rsidRDefault="00545673" w:rsidP="00545673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par kuru pastāv īpašumtiesību vai citi strīdi;</w:t>
      </w:r>
    </w:p>
    <w:p w14:paraId="22AF080C" w14:textId="77777777" w:rsidR="00545673" w:rsidRPr="002B6957" w:rsidRDefault="00545673" w:rsidP="00545673">
      <w:pPr>
        <w:numPr>
          <w:ilvl w:val="0"/>
          <w:numId w:val="3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kuras ieguvē ir pārkāptas Latvijas likumdošanas aktu prasības, kā arī citas Latvijai saistošas starptautiskās vienošanās un līgumi.</w:t>
      </w:r>
    </w:p>
    <w:p w14:paraId="2FD47F70" w14:textId="77777777" w:rsidR="00545673" w:rsidRPr="002B6957" w:rsidRDefault="00545673" w:rsidP="00545673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nelikumīgi izstrādātu koksni;</w:t>
      </w:r>
    </w:p>
    <w:p w14:paraId="0629C5AE" w14:textId="77777777" w:rsidR="00545673" w:rsidRPr="002B6957" w:rsidRDefault="00545673" w:rsidP="00545673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koksni, kas izstrādāta meža platībās, kur tiek pārkāptas tradicionālās vai pilsoniskās tiesības;</w:t>
      </w:r>
    </w:p>
    <w:p w14:paraId="0B915D76" w14:textId="77777777" w:rsidR="00545673" w:rsidRPr="002B6957" w:rsidRDefault="00545673" w:rsidP="00545673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koksni, kas iegūta no meža platībām, kurās meža apsaimniekošanas aktivitāšu rezultātā ir apdraudētas īpaši aizsargājamās vērtības (CITES sugas);</w:t>
      </w:r>
    </w:p>
    <w:p w14:paraId="62BB22A6" w14:textId="77777777" w:rsidR="00545673" w:rsidRPr="002B6957" w:rsidRDefault="00545673" w:rsidP="00545673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koksni, kas izstrādāta dabiskajā mežā, kas ir ticis pārveidots par plantāciju vai platību, ko nav paredzēts izmantot kā mežus;</w:t>
      </w:r>
    </w:p>
    <w:p w14:paraId="402D2FA5" w14:textId="77777777" w:rsidR="00545673" w:rsidRPr="002B6957" w:rsidRDefault="00545673" w:rsidP="00545673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koksni, kas izstrādāta mežā, kurā aug ģenētiski modificēti koki.</w:t>
      </w:r>
    </w:p>
    <w:p w14:paraId="208991A7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 (b) izmanto ģenētiski modificētus organismus;</w:t>
      </w:r>
    </w:p>
    <w:p w14:paraId="58A57CCC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(c) pārvērš dabisku mežu par plantācijām.</w:t>
      </w:r>
    </w:p>
    <w:p w14:paraId="5FB182BD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2. </w:t>
      </w:r>
      <w:r w:rsidRPr="002B6957">
        <w:rPr>
          <w:rFonts w:ascii="Arial" w:hAnsi="Arial" w:cs="Arial"/>
          <w:b/>
          <w:sz w:val="19"/>
          <w:szCs w:val="19"/>
        </w:rPr>
        <w:t>Piegādātājs apņemas</w:t>
      </w:r>
      <w:r w:rsidRPr="002B6957">
        <w:rPr>
          <w:rFonts w:ascii="Arial" w:hAnsi="Arial" w:cs="Arial"/>
          <w:sz w:val="19"/>
          <w:szCs w:val="19"/>
        </w:rPr>
        <w:t xml:space="preserve"> sniegt informāciju par piegādātās koksnes ģeogrāfisko izcelsmi.</w:t>
      </w:r>
    </w:p>
    <w:p w14:paraId="37F16454" w14:textId="77777777" w:rsidR="00545673" w:rsidRPr="002B6957" w:rsidRDefault="00545673" w:rsidP="00545673">
      <w:pPr>
        <w:numPr>
          <w:ilvl w:val="1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Kokmateriālu transporta pavadzīmē norādīt kokmateriālu izcelsmes vietu un </w:t>
      </w:r>
      <w:r w:rsidRPr="002B6957">
        <w:rPr>
          <w:rFonts w:ascii="Arial" w:hAnsi="Arial" w:cs="Arial"/>
          <w:b/>
          <w:sz w:val="19"/>
          <w:szCs w:val="19"/>
        </w:rPr>
        <w:t>sugu</w:t>
      </w:r>
      <w:r w:rsidRPr="002B6957">
        <w:rPr>
          <w:rFonts w:ascii="Arial" w:hAnsi="Arial" w:cs="Arial"/>
          <w:sz w:val="19"/>
          <w:szCs w:val="19"/>
        </w:rPr>
        <w:t xml:space="preserve">, </w:t>
      </w:r>
    </w:p>
    <w:p w14:paraId="42A2B1EC" w14:textId="77777777" w:rsidR="00545673" w:rsidRPr="002B6957" w:rsidRDefault="00545673" w:rsidP="00545673">
      <w:pPr>
        <w:numPr>
          <w:ilvl w:val="1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Piegādātājs, uzsākot koksnes iepirkumus no jauniem izcelsmes reģioniem, kas nav </w:t>
      </w:r>
      <w:r w:rsidRPr="002B6957">
        <w:rPr>
          <w:rFonts w:ascii="Arial" w:hAnsi="Arial" w:cs="Arial"/>
          <w:b/>
          <w:sz w:val="19"/>
          <w:szCs w:val="19"/>
        </w:rPr>
        <w:t xml:space="preserve">Latvija, </w:t>
      </w:r>
      <w:r w:rsidRPr="002B6957">
        <w:rPr>
          <w:rFonts w:ascii="Arial" w:hAnsi="Arial" w:cs="Arial"/>
          <w:sz w:val="19"/>
          <w:szCs w:val="19"/>
        </w:rPr>
        <w:t>informē par to Pircēju.</w:t>
      </w:r>
      <w:r w:rsidRPr="002B6957">
        <w:rPr>
          <w:rFonts w:ascii="Arial" w:hAnsi="Arial" w:cs="Arial"/>
          <w:i/>
          <w:sz w:val="19"/>
          <w:szCs w:val="19"/>
        </w:rPr>
        <w:t xml:space="preserve">    </w:t>
      </w:r>
      <w:r w:rsidRPr="002B6957">
        <w:rPr>
          <w:rFonts w:ascii="Arial" w:hAnsi="Arial" w:cs="Arial"/>
          <w:b/>
          <w:i/>
          <w:sz w:val="19"/>
          <w:szCs w:val="19"/>
        </w:rPr>
        <w:t xml:space="preserve">     </w:t>
      </w:r>
    </w:p>
    <w:p w14:paraId="7690888B" w14:textId="51D063F5" w:rsidR="00545673" w:rsidRPr="002B6957" w:rsidRDefault="00545673" w:rsidP="00545673">
      <w:pPr>
        <w:numPr>
          <w:ilvl w:val="1"/>
          <w:numId w:val="1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Piegādātājs apņemas piegādāt sekojošas sugas: Parastā priede (Pinus sylvestris), Parastā egle (Picea abies), Āra bērzs (Betula pendula), Purva bērzs (Betula pubescens), Melnalksnis (Alnus glutinosa),</w:t>
      </w:r>
      <w:r w:rsidR="008269EA">
        <w:rPr>
          <w:rFonts w:ascii="Arial" w:hAnsi="Arial" w:cs="Arial"/>
          <w:sz w:val="19"/>
          <w:szCs w:val="19"/>
        </w:rPr>
        <w:t xml:space="preserve"> </w:t>
      </w:r>
      <w:r w:rsidRPr="002B6957">
        <w:rPr>
          <w:rFonts w:ascii="Arial" w:hAnsi="Arial" w:cs="Arial"/>
          <w:sz w:val="19"/>
          <w:szCs w:val="19"/>
        </w:rPr>
        <w:t>Baltalksnis (Alnus incana), Ozols (Quercus robur), Osis (Fraxinus excelsior), Apse (Populus tremula), Vītols (Salix alba), Eiropas lapegle</w:t>
      </w:r>
      <w:r w:rsidR="008269EA">
        <w:rPr>
          <w:rFonts w:ascii="Arial" w:hAnsi="Arial" w:cs="Arial"/>
          <w:sz w:val="19"/>
          <w:szCs w:val="19"/>
        </w:rPr>
        <w:t xml:space="preserve"> (</w:t>
      </w:r>
      <w:r w:rsidR="008269EA" w:rsidRPr="002B6957">
        <w:rPr>
          <w:rFonts w:ascii="Arial" w:hAnsi="Arial" w:cs="Arial"/>
          <w:sz w:val="19"/>
          <w:szCs w:val="19"/>
        </w:rPr>
        <w:t>Larix decidua</w:t>
      </w:r>
      <w:r w:rsidR="008269EA">
        <w:rPr>
          <w:rFonts w:ascii="Arial" w:hAnsi="Arial" w:cs="Arial"/>
          <w:sz w:val="19"/>
          <w:szCs w:val="19"/>
        </w:rPr>
        <w:t>)</w:t>
      </w:r>
      <w:r w:rsidR="004C0EB8">
        <w:rPr>
          <w:rFonts w:ascii="Arial" w:hAnsi="Arial" w:cs="Arial"/>
          <w:sz w:val="19"/>
          <w:szCs w:val="19"/>
        </w:rPr>
        <w:t>,</w:t>
      </w:r>
      <w:r w:rsidRPr="002B6957">
        <w:rPr>
          <w:rFonts w:ascii="Arial" w:hAnsi="Arial" w:cs="Arial"/>
          <w:sz w:val="19"/>
          <w:szCs w:val="19"/>
        </w:rPr>
        <w:t xml:space="preserve"> ja plānots piegādāt kādas citas sugas, tad to iepriekš saskaņo ar pasūtītāju.</w:t>
      </w:r>
    </w:p>
    <w:p w14:paraId="21D32639" w14:textId="77777777" w:rsidR="00545673" w:rsidRPr="002B6957" w:rsidRDefault="00545673" w:rsidP="00545673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lv-LV"/>
        </w:rPr>
      </w:pPr>
      <w:r w:rsidRPr="002B6957">
        <w:rPr>
          <w:rFonts w:ascii="Arial" w:hAnsi="Arial" w:cs="Arial"/>
          <w:sz w:val="19"/>
          <w:szCs w:val="19"/>
          <w:lang w:eastAsia="lv-LV"/>
        </w:rPr>
        <w:t xml:space="preserve">Informēt </w:t>
      </w:r>
      <w:r w:rsidRPr="002B6957">
        <w:rPr>
          <w:rFonts w:ascii="Arial" w:hAnsi="Arial" w:cs="Arial"/>
          <w:b/>
          <w:sz w:val="19"/>
          <w:szCs w:val="19"/>
          <w:lang w:eastAsia="lv-LV"/>
        </w:rPr>
        <w:t>par jebkādām izmaiņām, kas varētu ietekmēt riska apzīmējumu vai riska mazināšanu,</w:t>
      </w:r>
      <w:r w:rsidRPr="002B6957">
        <w:rPr>
          <w:rFonts w:ascii="Arial" w:hAnsi="Arial" w:cs="Arial"/>
          <w:sz w:val="19"/>
          <w:szCs w:val="19"/>
          <w:lang w:eastAsia="lv-LV"/>
        </w:rPr>
        <w:t xml:space="preserve"> piemēram, sugas, izcelsmes un piegādes ķēdes izmaiņas. </w:t>
      </w:r>
    </w:p>
    <w:p w14:paraId="3C6E1793" w14:textId="77777777" w:rsidR="00545673" w:rsidRPr="002B6957" w:rsidRDefault="00545673" w:rsidP="00545673">
      <w:pPr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  <w:sz w:val="19"/>
          <w:szCs w:val="19"/>
          <w:lang w:eastAsia="lv-LV"/>
        </w:rPr>
      </w:pPr>
      <w:r w:rsidRPr="002B6957">
        <w:rPr>
          <w:rFonts w:ascii="Arial" w:hAnsi="Arial" w:cs="Arial"/>
          <w:sz w:val="19"/>
          <w:szCs w:val="19"/>
          <w:lang w:eastAsia="lv-LV"/>
        </w:rPr>
        <w:t>Informēt Pircēju, par materiāla uzglabāšanas un nodalīšanas procesa īstenošanu piegādātā materiāla piegādes ķēdes ietvaros.</w:t>
      </w:r>
    </w:p>
    <w:p w14:paraId="668B2516" w14:textId="77777777" w:rsidR="00545673" w:rsidRPr="002B6957" w:rsidRDefault="00545673" w:rsidP="00545673">
      <w:pPr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bookmarkStart w:id="1" w:name="_Hlk78545590"/>
      <w:r w:rsidRPr="002B6957">
        <w:rPr>
          <w:rFonts w:ascii="Arial" w:hAnsi="Arial" w:cs="Arial"/>
          <w:sz w:val="19"/>
          <w:szCs w:val="19"/>
        </w:rPr>
        <w:t>Mežizstrādes procesā tiek ievērotas šādas prasības:</w:t>
      </w:r>
    </w:p>
    <w:p w14:paraId="031AB029" w14:textId="77777777" w:rsidR="00545673" w:rsidRPr="002B6957" w:rsidRDefault="00545673" w:rsidP="00545673">
      <w:pPr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Persona, kura veic mežizstrādes darbus ir ar attiecīgu kvalifikāciju;</w:t>
      </w:r>
    </w:p>
    <w:p w14:paraId="31E4CF57" w14:textId="77777777" w:rsidR="00545673" w:rsidRPr="002B6957" w:rsidRDefault="00545673" w:rsidP="00545673">
      <w:pPr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Obligāto individuālo darba aizsardzības līdzekļu izmantošanu;</w:t>
      </w:r>
    </w:p>
    <w:p w14:paraId="31F30A29" w14:textId="77777777" w:rsidR="00545673" w:rsidRPr="002B6957" w:rsidRDefault="00545673" w:rsidP="00545673">
      <w:pPr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 Mežizstrādē izmantotā tehnika ir bez defektiem, kas ietekmē darbu veicēja drošību;</w:t>
      </w:r>
    </w:p>
    <w:p w14:paraId="53D9914C" w14:textId="77777777" w:rsidR="00545673" w:rsidRPr="002B6957" w:rsidRDefault="00545673" w:rsidP="00545673">
      <w:pPr>
        <w:numPr>
          <w:ilvl w:val="2"/>
          <w:numId w:val="1"/>
        </w:numPr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Tiks ievērotas darba aizsardzības prasības, kuras attiecas uz mežizstrādes darbiem un ir minētas “Darba aizsardzības likumā” un Ministru Kabineta noteikumos Nr. 310 “Darba aizsardzības prasības mežizstrādē.</w:t>
      </w:r>
    </w:p>
    <w:bookmarkEnd w:id="1"/>
    <w:p w14:paraId="5CA7F89C" w14:textId="77777777" w:rsidR="00545673" w:rsidRPr="002B6957" w:rsidRDefault="00545673" w:rsidP="00545673">
      <w:p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3. </w:t>
      </w:r>
      <w:r w:rsidRPr="002B6957">
        <w:rPr>
          <w:rFonts w:ascii="Arial" w:hAnsi="Arial" w:cs="Arial"/>
          <w:b/>
          <w:sz w:val="19"/>
          <w:szCs w:val="19"/>
        </w:rPr>
        <w:t>Piegādātājs apņemas</w:t>
      </w:r>
      <w:r w:rsidRPr="002B6957">
        <w:rPr>
          <w:rFonts w:ascii="Arial" w:hAnsi="Arial" w:cs="Arial"/>
          <w:sz w:val="19"/>
          <w:szCs w:val="19"/>
        </w:rPr>
        <w:t xml:space="preserve"> dot iespēju Pircējam, sertifikācijas un akreditācijas iestādei (ASI), kā arī FSC pārstāvjiem iespēju piekļūt kokmateriālu izcelsmes vietām audita veikšanai. Piegādātājs palīdz Pircēja pārstāvim izsekot koksnes plūsmas ķēdi līdz cirsmai.</w:t>
      </w:r>
    </w:p>
    <w:p w14:paraId="32F95702" w14:textId="77777777" w:rsidR="00545673" w:rsidRPr="002B6957" w:rsidRDefault="00545673" w:rsidP="00545673">
      <w:pPr>
        <w:numPr>
          <w:ilvl w:val="1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 xml:space="preserve">Piegādātājs reģistrē un pēc Pircēj pieprasījuma uzrāda dokumentētus pierādījumus, lai apliecinātu, no kurienes tiek piegādāta koksne, un kas ir tās piegādātājs. </w:t>
      </w:r>
    </w:p>
    <w:p w14:paraId="228BB581" w14:textId="77777777" w:rsidR="00545673" w:rsidRPr="002B6957" w:rsidRDefault="00545673" w:rsidP="00545673">
      <w:pPr>
        <w:numPr>
          <w:ilvl w:val="1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Piegādātājs reģistrē un pēc Pircēja pieprasījuma uzrāda iegādātos un realizētos koksnes apjomus. Piegādātājs ir tiesīgs neuzrādīt iegādātās koksnes cenas.</w:t>
      </w:r>
    </w:p>
    <w:p w14:paraId="64BEDE2B" w14:textId="77777777" w:rsidR="00545673" w:rsidRPr="002B6957" w:rsidRDefault="00545673" w:rsidP="00545673">
      <w:pPr>
        <w:numPr>
          <w:ilvl w:val="1"/>
          <w:numId w:val="2"/>
        </w:numPr>
        <w:jc w:val="both"/>
        <w:rPr>
          <w:rFonts w:ascii="Arial" w:hAnsi="Arial" w:cs="Arial"/>
          <w:sz w:val="19"/>
          <w:szCs w:val="19"/>
        </w:rPr>
      </w:pPr>
      <w:r w:rsidRPr="002B6957">
        <w:rPr>
          <w:rFonts w:ascii="Arial" w:hAnsi="Arial" w:cs="Arial"/>
          <w:sz w:val="19"/>
          <w:szCs w:val="19"/>
        </w:rPr>
        <w:t>Dokumentu oriģinālus vai kopijas, kas pierāda koksnes izcelsmi, Piegādātājs glabā ne mazāk kā 5 gadus pēc piegādes fakta un uzrāda pēc Organizācijas pieprasījuma.</w:t>
      </w:r>
    </w:p>
    <w:p w14:paraId="095DFC54" w14:textId="63E71AAC" w:rsidR="00545673" w:rsidRPr="002B6957" w:rsidRDefault="00EB6B62" w:rsidP="00EB6B62">
      <w:pPr>
        <w:tabs>
          <w:tab w:val="left" w:pos="3600"/>
        </w:tabs>
        <w:ind w:left="113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tbl>
      <w:tblPr>
        <w:tblStyle w:val="Reatabula"/>
        <w:tblpPr w:leftFromText="180" w:rightFromText="180" w:vertAnchor="text" w:tblpX="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B6957" w:rsidRPr="002B6957" w14:paraId="54229074" w14:textId="77777777" w:rsidTr="001D249F">
        <w:trPr>
          <w:trHeight w:val="263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75A5DAC9" w14:textId="77777777" w:rsidR="00C95064" w:rsidRPr="00785CEC" w:rsidRDefault="00C95064" w:rsidP="004F5156">
            <w:pPr>
              <w:tabs>
                <w:tab w:val="left" w:pos="851"/>
                <w:tab w:val="left" w:pos="1100"/>
              </w:tabs>
              <w:ind w:right="20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785CEC">
              <w:rPr>
                <w:rFonts w:ascii="Arial" w:hAnsi="Arial" w:cs="Arial"/>
                <w:b/>
                <w:sz w:val="19"/>
                <w:szCs w:val="19"/>
              </w:rPr>
              <w:t>Piegādātājs:</w:t>
            </w:r>
          </w:p>
        </w:tc>
      </w:tr>
      <w:tr w:rsidR="00EB6B62" w:rsidRPr="002B6957" w14:paraId="57D1253A" w14:textId="77777777" w:rsidTr="001D249F">
        <w:trPr>
          <w:trHeight w:val="263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B8BDB" w14:textId="77777777" w:rsidR="00EB6B62" w:rsidRPr="00785CEC" w:rsidRDefault="00EB6B62" w:rsidP="004F5156">
            <w:pPr>
              <w:tabs>
                <w:tab w:val="left" w:pos="851"/>
                <w:tab w:val="left" w:pos="1100"/>
              </w:tabs>
              <w:ind w:right="20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E604F" w:rsidRPr="002B6957" w14:paraId="480DB96A" w14:textId="77777777" w:rsidTr="001D249F">
        <w:trPr>
          <w:trHeight w:val="281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EDC14" w14:textId="6E849B57" w:rsidR="007E604F" w:rsidRPr="00785CEC" w:rsidRDefault="0048097D" w:rsidP="0048097D">
            <w:pPr>
              <w:tabs>
                <w:tab w:val="left" w:pos="851"/>
                <w:tab w:val="left" w:pos="1100"/>
              </w:tabs>
              <w:ind w:right="200"/>
              <w:rPr>
                <w:rFonts w:ascii="Arial" w:hAnsi="Arial" w:cs="Arial"/>
                <w:b/>
                <w:sz w:val="19"/>
                <w:szCs w:val="19"/>
              </w:rPr>
            </w:pPr>
            <w:r w:rsidRPr="00785CEC">
              <w:rPr>
                <w:rFonts w:ascii="Arial" w:hAnsi="Arial" w:cs="Arial"/>
                <w:b/>
                <w:sz w:val="19"/>
                <w:szCs w:val="19"/>
              </w:rPr>
              <w:t>Datums:</w:t>
            </w:r>
          </w:p>
        </w:tc>
      </w:tr>
      <w:tr w:rsidR="00CD2AD7" w:rsidRPr="002B6957" w14:paraId="32D4BCB4" w14:textId="77777777" w:rsidTr="001D249F">
        <w:trPr>
          <w:trHeight w:val="70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75F6D" w14:textId="77777777" w:rsidR="00CD2AD7" w:rsidRPr="00785CEC" w:rsidRDefault="00CD2AD7" w:rsidP="00F44D8E">
            <w:pPr>
              <w:tabs>
                <w:tab w:val="left" w:pos="851"/>
                <w:tab w:val="left" w:pos="1100"/>
              </w:tabs>
              <w:ind w:right="20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7E604F" w:rsidRPr="002B6957" w14:paraId="7665B720" w14:textId="77777777" w:rsidTr="001D249F">
        <w:trPr>
          <w:trHeight w:val="263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F02A8" w14:textId="4014D25A" w:rsidR="007E604F" w:rsidRPr="00785CEC" w:rsidRDefault="00A80F6D" w:rsidP="0048097D">
            <w:pPr>
              <w:tabs>
                <w:tab w:val="left" w:pos="851"/>
                <w:tab w:val="left" w:pos="1100"/>
              </w:tabs>
              <w:ind w:right="20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</w:t>
            </w:r>
            <w:r w:rsidR="007E604F" w:rsidRPr="00785CEC">
              <w:rPr>
                <w:rFonts w:ascii="Arial" w:hAnsi="Arial" w:cs="Arial"/>
                <w:b/>
                <w:sz w:val="19"/>
                <w:szCs w:val="19"/>
              </w:rPr>
              <w:t>mats, vārds, uzvārds, paraksts</w:t>
            </w:r>
            <w:r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</w:tbl>
    <w:p w14:paraId="5A7C7427" w14:textId="7079318A" w:rsidR="000F63D9" w:rsidRPr="002B6957" w:rsidRDefault="000F63D9" w:rsidP="00295C72">
      <w:pPr>
        <w:rPr>
          <w:rFonts w:eastAsia="Calibri"/>
        </w:rPr>
      </w:pPr>
    </w:p>
    <w:sectPr w:rsidR="000F63D9" w:rsidRPr="002B6957" w:rsidSect="00AA6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6A34" w14:textId="77777777" w:rsidR="0026536B" w:rsidRDefault="0026536B" w:rsidP="000F63D9">
      <w:r>
        <w:separator/>
      </w:r>
    </w:p>
  </w:endnote>
  <w:endnote w:type="continuationSeparator" w:id="0">
    <w:p w14:paraId="5540B731" w14:textId="77777777" w:rsidR="0026536B" w:rsidRDefault="0026536B" w:rsidP="000F63D9">
      <w:r>
        <w:continuationSeparator/>
      </w:r>
    </w:p>
  </w:endnote>
  <w:endnote w:type="continuationNotice" w:id="1">
    <w:p w14:paraId="341B79AD" w14:textId="77777777" w:rsidR="0026536B" w:rsidRDefault="002653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wiss TL">
    <w:altName w:val="Calibri"/>
    <w:charset w:val="BA"/>
    <w:family w:val="swiss"/>
    <w:pitch w:val="variable"/>
    <w:sig w:usb0="00000001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1BD4" w14:textId="77777777" w:rsidR="00754642" w:rsidRDefault="0075464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84C4" w14:textId="77777777" w:rsidR="00754642" w:rsidRDefault="0075464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CB7E" w14:textId="77777777" w:rsidR="00754642" w:rsidRDefault="007546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DAFA" w14:textId="77777777" w:rsidR="0026536B" w:rsidRDefault="0026536B" w:rsidP="000F63D9">
      <w:r>
        <w:separator/>
      </w:r>
    </w:p>
  </w:footnote>
  <w:footnote w:type="continuationSeparator" w:id="0">
    <w:p w14:paraId="2CC2E5F6" w14:textId="77777777" w:rsidR="0026536B" w:rsidRDefault="0026536B" w:rsidP="000F63D9">
      <w:r>
        <w:continuationSeparator/>
      </w:r>
    </w:p>
  </w:footnote>
  <w:footnote w:type="continuationNotice" w:id="1">
    <w:p w14:paraId="40428C7A" w14:textId="77777777" w:rsidR="0026536B" w:rsidRDefault="002653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1DA1" w14:textId="0C9AD41A" w:rsidR="000F63D9" w:rsidRDefault="00000000">
    <w:pPr>
      <w:pStyle w:val="Galvene"/>
    </w:pPr>
    <w:r>
      <w:rPr>
        <w:noProof/>
      </w:rPr>
      <w:pict w14:anchorId="2AC79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634047" o:spid="_x0000_s1026" type="#_x0000_t75" style="position:absolute;margin-left:0;margin-top:0;width:595.45pt;height:841.9pt;z-index:-251656190;mso-position-horizontal:center;mso-position-horizontal-relative:margin;mso-position-vertical:center;mso-position-vertical-relative:margin" o:allowincell="f">
          <v:imagedata r:id="rId1" o:title="Bono Energy_bottom_A4"/>
          <w10:wrap anchorx="margin" anchory="margin"/>
        </v:shape>
      </w:pict>
    </w:r>
    <w:r w:rsidR="004F5156">
      <w:rPr>
        <w:noProof/>
      </w:rPr>
      <w:drawing>
        <wp:anchor distT="0" distB="0" distL="114300" distR="114300" simplePos="0" relativeHeight="251658241" behindDoc="1" locked="0" layoutInCell="0" allowOverlap="1" wp14:anchorId="723D14C7" wp14:editId="6F6D3D1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6055" cy="9237980"/>
          <wp:effectExtent l="0" t="0" r="0" b="1270"/>
          <wp:wrapNone/>
          <wp:docPr id="14" name="Attēls 14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78793864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055" cy="923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A97B" w14:textId="01164BBD" w:rsidR="00754642" w:rsidRDefault="00000000">
    <w:pPr>
      <w:pStyle w:val="Galvene"/>
    </w:pPr>
    <w:r>
      <w:rPr>
        <w:noProof/>
      </w:rPr>
      <w:pict w14:anchorId="6208B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634048" o:spid="_x0000_s1027" type="#_x0000_t75" style="position:absolute;margin-left:0;margin-top:0;width:595.45pt;height:841.9pt;z-index:-251655166;mso-position-horizontal:center;mso-position-horizontal-relative:margin;mso-position-vertical:center;mso-position-vertical-relative:margin" o:allowincell="f">
          <v:imagedata r:id="rId1" o:title="Bono Energy_bottom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0F1CA" w14:textId="0E1BC282" w:rsidR="000F63D9" w:rsidRDefault="00000000">
    <w:pPr>
      <w:pStyle w:val="Galvene"/>
    </w:pPr>
    <w:r>
      <w:rPr>
        <w:noProof/>
      </w:rPr>
      <w:pict w14:anchorId="5A01A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634046" o:spid="_x0000_s1025" type="#_x0000_t75" style="position:absolute;margin-left:0;margin-top:0;width:595.45pt;height:841.9pt;z-index:-251657214;mso-position-horizontal:center;mso-position-horizontal-relative:margin;mso-position-vertical:center;mso-position-vertical-relative:margin" o:allowincell="f">
          <v:imagedata r:id="rId1" o:title="Bono Energy_bottom_A4"/>
          <w10:wrap anchorx="margin" anchory="margin"/>
        </v:shape>
      </w:pict>
    </w:r>
    <w:r w:rsidR="004F5156">
      <w:rPr>
        <w:noProof/>
      </w:rPr>
      <w:drawing>
        <wp:anchor distT="0" distB="0" distL="114300" distR="114300" simplePos="0" relativeHeight="251658240" behindDoc="1" locked="0" layoutInCell="0" allowOverlap="1" wp14:anchorId="455EA3B9" wp14:editId="27D8927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6055" cy="9237980"/>
          <wp:effectExtent l="0" t="0" r="0" b="1270"/>
          <wp:wrapNone/>
          <wp:docPr id="13" name="Attēls 13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787938640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055" cy="9237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0D8"/>
    <w:multiLevelType w:val="singleLevel"/>
    <w:tmpl w:val="96DC1A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B433F1"/>
    <w:multiLevelType w:val="multilevel"/>
    <w:tmpl w:val="B56EB0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4A0B58C1"/>
    <w:multiLevelType w:val="multilevel"/>
    <w:tmpl w:val="584008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2"/>
        </w:tabs>
        <w:ind w:left="1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8"/>
        </w:tabs>
        <w:ind w:left="13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4"/>
        </w:tabs>
        <w:ind w:left="16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0"/>
        </w:tabs>
        <w:ind w:left="2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6"/>
        </w:tabs>
        <w:ind w:left="24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22"/>
        </w:tabs>
        <w:ind w:left="30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8"/>
        </w:tabs>
        <w:ind w:left="3248" w:hanging="1440"/>
      </w:pPr>
      <w:rPr>
        <w:rFonts w:hint="default"/>
      </w:rPr>
    </w:lvl>
  </w:abstractNum>
  <w:num w:numId="1" w16cid:durableId="2010599535">
    <w:abstractNumId w:val="2"/>
  </w:num>
  <w:num w:numId="2" w16cid:durableId="1823546201">
    <w:abstractNumId w:val="1"/>
  </w:num>
  <w:num w:numId="3" w16cid:durableId="173593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1C"/>
    <w:rsid w:val="00075111"/>
    <w:rsid w:val="000F63D9"/>
    <w:rsid w:val="0019036A"/>
    <w:rsid w:val="00195A03"/>
    <w:rsid w:val="001B41AC"/>
    <w:rsid w:val="001D249F"/>
    <w:rsid w:val="001D5C52"/>
    <w:rsid w:val="0026536B"/>
    <w:rsid w:val="00276744"/>
    <w:rsid w:val="00283684"/>
    <w:rsid w:val="00295C72"/>
    <w:rsid w:val="002B6957"/>
    <w:rsid w:val="002C5C2A"/>
    <w:rsid w:val="00366EDC"/>
    <w:rsid w:val="003A74C1"/>
    <w:rsid w:val="003A7706"/>
    <w:rsid w:val="003B61BA"/>
    <w:rsid w:val="003C2E9E"/>
    <w:rsid w:val="0048097D"/>
    <w:rsid w:val="004A1446"/>
    <w:rsid w:val="004C0EB8"/>
    <w:rsid w:val="004E23DC"/>
    <w:rsid w:val="004F5156"/>
    <w:rsid w:val="00510A4D"/>
    <w:rsid w:val="00544753"/>
    <w:rsid w:val="00545673"/>
    <w:rsid w:val="005650D1"/>
    <w:rsid w:val="00566D78"/>
    <w:rsid w:val="005A512A"/>
    <w:rsid w:val="005C7895"/>
    <w:rsid w:val="00642938"/>
    <w:rsid w:val="00726432"/>
    <w:rsid w:val="00754642"/>
    <w:rsid w:val="007576BC"/>
    <w:rsid w:val="00763812"/>
    <w:rsid w:val="00772024"/>
    <w:rsid w:val="00777B43"/>
    <w:rsid w:val="00785CEC"/>
    <w:rsid w:val="007E604F"/>
    <w:rsid w:val="007E7687"/>
    <w:rsid w:val="007F6188"/>
    <w:rsid w:val="00814E76"/>
    <w:rsid w:val="00824150"/>
    <w:rsid w:val="008243FE"/>
    <w:rsid w:val="008269EA"/>
    <w:rsid w:val="00840726"/>
    <w:rsid w:val="00897FBA"/>
    <w:rsid w:val="00903765"/>
    <w:rsid w:val="00972DFD"/>
    <w:rsid w:val="0099538D"/>
    <w:rsid w:val="009A2779"/>
    <w:rsid w:val="00A52826"/>
    <w:rsid w:val="00A549A7"/>
    <w:rsid w:val="00A80F6D"/>
    <w:rsid w:val="00AA604A"/>
    <w:rsid w:val="00AF1F74"/>
    <w:rsid w:val="00B2472A"/>
    <w:rsid w:val="00B47D4B"/>
    <w:rsid w:val="00B8462C"/>
    <w:rsid w:val="00BB605E"/>
    <w:rsid w:val="00BE3B5A"/>
    <w:rsid w:val="00C31920"/>
    <w:rsid w:val="00C336E5"/>
    <w:rsid w:val="00C67E4E"/>
    <w:rsid w:val="00C95064"/>
    <w:rsid w:val="00CA4A35"/>
    <w:rsid w:val="00CD2AD7"/>
    <w:rsid w:val="00D32176"/>
    <w:rsid w:val="00D72A68"/>
    <w:rsid w:val="00DA591C"/>
    <w:rsid w:val="00DB2E0A"/>
    <w:rsid w:val="00E0786C"/>
    <w:rsid w:val="00E3086E"/>
    <w:rsid w:val="00E81B05"/>
    <w:rsid w:val="00EA09FB"/>
    <w:rsid w:val="00EB6B62"/>
    <w:rsid w:val="00EC6A15"/>
    <w:rsid w:val="00EF1A9B"/>
    <w:rsid w:val="00F32344"/>
    <w:rsid w:val="00F44D8E"/>
    <w:rsid w:val="00F63423"/>
    <w:rsid w:val="00FC280A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FACBE"/>
  <w15:chartTrackingRefBased/>
  <w15:docId w15:val="{00920D15-F6C9-48C1-A73E-E5414642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456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F63D9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63D9"/>
  </w:style>
  <w:style w:type="paragraph" w:styleId="Kjene">
    <w:name w:val="footer"/>
    <w:basedOn w:val="Parasts"/>
    <w:link w:val="KjeneRakstz"/>
    <w:uiPriority w:val="99"/>
    <w:unhideWhenUsed/>
    <w:rsid w:val="000F63D9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63D9"/>
  </w:style>
  <w:style w:type="table" w:styleId="Reatabula">
    <w:name w:val="Table Grid"/>
    <w:basedOn w:val="Parastatabula"/>
    <w:uiPriority w:val="59"/>
    <w:rsid w:val="0072643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aukums">
    <w:name w:val="Title"/>
    <w:basedOn w:val="Parasts"/>
    <w:link w:val="NosaukumsRakstz"/>
    <w:qFormat/>
    <w:rsid w:val="00545673"/>
    <w:pPr>
      <w:jc w:val="center"/>
    </w:pPr>
    <w:rPr>
      <w:rFonts w:ascii="Swiss TL" w:hAnsi="Swiss TL"/>
      <w:b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545673"/>
    <w:rPr>
      <w:rFonts w:ascii="Swiss TL" w:eastAsia="Times New Roman" w:hAnsi="Swiss TL" w:cs="Times New Roman"/>
      <w:b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4101-5249-49CD-9261-64D68E82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Loziņa</dc:creator>
  <cp:keywords/>
  <dc:description/>
  <cp:lastModifiedBy>Māra Loziņa</cp:lastModifiedBy>
  <cp:revision>14</cp:revision>
  <cp:lastPrinted>2023-02-09T22:19:00Z</cp:lastPrinted>
  <dcterms:created xsi:type="dcterms:W3CDTF">2023-01-16T20:07:00Z</dcterms:created>
  <dcterms:modified xsi:type="dcterms:W3CDTF">2023-05-24T10:24:00Z</dcterms:modified>
</cp:coreProperties>
</file>